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E4" w:rsidRDefault="00B61BE4" w:rsidP="00B61BE4">
      <w:pPr>
        <w:pStyle w:val="Default"/>
        <w:rPr>
          <w:color w:val="auto"/>
        </w:rPr>
      </w:pPr>
    </w:p>
    <w:p w:rsidR="00B61BE4" w:rsidRDefault="00B61BE4" w:rsidP="00B61BE4">
      <w:pPr>
        <w:pStyle w:val="Default"/>
        <w:jc w:val="center"/>
        <w:rPr>
          <w:color w:val="auto"/>
          <w:sz w:val="23"/>
          <w:szCs w:val="23"/>
        </w:rPr>
      </w:pPr>
      <w:r>
        <w:rPr>
          <w:b/>
          <w:bCs/>
          <w:color w:val="auto"/>
          <w:sz w:val="23"/>
          <w:szCs w:val="23"/>
        </w:rPr>
        <w:t>Temporary Tents and Membrane Structures</w:t>
      </w:r>
    </w:p>
    <w:p w:rsidR="00B61BE4" w:rsidRDefault="00B61BE4" w:rsidP="00B61BE4">
      <w:pPr>
        <w:pStyle w:val="Default"/>
        <w:jc w:val="center"/>
        <w:rPr>
          <w:b/>
          <w:bCs/>
          <w:color w:val="auto"/>
          <w:sz w:val="20"/>
          <w:szCs w:val="20"/>
        </w:rPr>
      </w:pPr>
      <w:r>
        <w:rPr>
          <w:b/>
          <w:bCs/>
          <w:color w:val="auto"/>
          <w:sz w:val="20"/>
          <w:szCs w:val="20"/>
        </w:rPr>
        <w:t>North Carolina Fire Code 2018 Requirements</w:t>
      </w:r>
    </w:p>
    <w:p w:rsidR="00B61BE4" w:rsidRDefault="00B61BE4" w:rsidP="003D7865">
      <w:pPr>
        <w:pStyle w:val="Default"/>
        <w:rPr>
          <w:color w:val="auto"/>
          <w:sz w:val="20"/>
          <w:szCs w:val="20"/>
        </w:rPr>
      </w:pPr>
    </w:p>
    <w:p w:rsidR="00B61BE4" w:rsidRPr="008D1AFD" w:rsidRDefault="00B61BE4" w:rsidP="00B61BE4">
      <w:pPr>
        <w:pStyle w:val="Default"/>
        <w:rPr>
          <w:color w:val="auto"/>
          <w:sz w:val="18"/>
          <w:szCs w:val="18"/>
        </w:rPr>
      </w:pPr>
      <w:r w:rsidRPr="008D1AFD">
        <w:rPr>
          <w:color w:val="auto"/>
          <w:sz w:val="18"/>
          <w:szCs w:val="18"/>
        </w:rPr>
        <w:t xml:space="preserve">For events on State owned properties involving the erection of tents, canopies, membrane structures, the </w:t>
      </w:r>
      <w:r w:rsidRPr="008D1AFD">
        <w:rPr>
          <w:i/>
          <w:iCs/>
          <w:color w:val="auto"/>
          <w:sz w:val="18"/>
          <w:szCs w:val="18"/>
        </w:rPr>
        <w:t xml:space="preserve">NC Fire Code 2018 </w:t>
      </w:r>
      <w:r w:rsidRPr="008D1AFD">
        <w:rPr>
          <w:color w:val="auto"/>
          <w:sz w:val="18"/>
          <w:szCs w:val="18"/>
        </w:rPr>
        <w:t xml:space="preserve">requires the tents, canopies, membrane structures to be evaluated for fire and life safety and a permit issued. State Construction Office (SCO) is responsible for evaluation per </w:t>
      </w:r>
      <w:r w:rsidRPr="008D1AFD">
        <w:rPr>
          <w:i/>
          <w:iCs/>
          <w:color w:val="auto"/>
          <w:sz w:val="18"/>
          <w:szCs w:val="18"/>
        </w:rPr>
        <w:t>NC Fire Code 2018</w:t>
      </w:r>
      <w:r w:rsidRPr="008D1AFD">
        <w:rPr>
          <w:color w:val="auto"/>
          <w:sz w:val="18"/>
          <w:szCs w:val="18"/>
        </w:rPr>
        <w:t>, SCO shall issue a permit in the form of a signed approval letter or E-mail. SCO’s approval acknowledges Code compliance and does not constitute an agreement for use of the space. That is obtained from the Department of Administration – Facility Management Division or the owning Agency/University. Tents, canopies, membrane structures permit on Community College campuses shall be obtained from local authority.</w:t>
      </w:r>
    </w:p>
    <w:p w:rsidR="00B61BE4" w:rsidRPr="008D1AFD" w:rsidRDefault="00B61BE4" w:rsidP="00B61BE4">
      <w:pPr>
        <w:pStyle w:val="Default"/>
        <w:rPr>
          <w:color w:val="auto"/>
          <w:sz w:val="18"/>
          <w:szCs w:val="18"/>
        </w:rPr>
      </w:pPr>
      <w:r w:rsidRPr="008D1AFD">
        <w:rPr>
          <w:color w:val="auto"/>
          <w:sz w:val="18"/>
          <w:szCs w:val="18"/>
        </w:rPr>
        <w:t xml:space="preserve"> </w:t>
      </w:r>
    </w:p>
    <w:p w:rsidR="00B61BE4" w:rsidRPr="008D1AFD" w:rsidRDefault="00B61BE4" w:rsidP="00B61BE4">
      <w:pPr>
        <w:pStyle w:val="Default"/>
        <w:rPr>
          <w:color w:val="auto"/>
          <w:sz w:val="18"/>
          <w:szCs w:val="18"/>
        </w:rPr>
      </w:pPr>
      <w:r w:rsidRPr="008D1AFD">
        <w:rPr>
          <w:color w:val="auto"/>
          <w:sz w:val="18"/>
          <w:szCs w:val="18"/>
        </w:rPr>
        <w:t xml:space="preserve">The following requirements apply for the erection of Tents, Canopies, Membrane structures: </w:t>
      </w:r>
    </w:p>
    <w:p w:rsidR="00B61BE4" w:rsidRPr="008D1AFD" w:rsidRDefault="00B61BE4" w:rsidP="00B61BE4">
      <w:pPr>
        <w:pStyle w:val="Default"/>
        <w:spacing w:after="30"/>
        <w:ind w:firstLine="720"/>
        <w:rPr>
          <w:color w:val="auto"/>
          <w:sz w:val="18"/>
          <w:szCs w:val="18"/>
        </w:rPr>
      </w:pPr>
      <w:r w:rsidRPr="008D1AFD">
        <w:rPr>
          <w:color w:val="auto"/>
          <w:sz w:val="18"/>
          <w:szCs w:val="18"/>
        </w:rPr>
        <w:t xml:space="preserve">1. Structure with sides over 700 square feet. </w:t>
      </w:r>
      <w:r w:rsidRPr="008D1AFD">
        <w:rPr>
          <w:i/>
          <w:iCs/>
          <w:color w:val="auto"/>
          <w:sz w:val="18"/>
          <w:szCs w:val="18"/>
        </w:rPr>
        <w:t xml:space="preserve">Section 3103.2. </w:t>
      </w:r>
    </w:p>
    <w:p w:rsidR="00B61BE4" w:rsidRPr="008D1AFD" w:rsidRDefault="00B61BE4" w:rsidP="00B61BE4">
      <w:pPr>
        <w:pStyle w:val="Default"/>
        <w:spacing w:after="30"/>
        <w:ind w:firstLine="720"/>
        <w:rPr>
          <w:color w:val="auto"/>
          <w:sz w:val="18"/>
          <w:szCs w:val="18"/>
        </w:rPr>
      </w:pPr>
      <w:r w:rsidRPr="008D1AFD">
        <w:rPr>
          <w:color w:val="auto"/>
          <w:sz w:val="18"/>
          <w:szCs w:val="18"/>
        </w:rPr>
        <w:t xml:space="preserve">2. Structure without sides over 1800 square feet, 75% to 100% open sides. </w:t>
      </w:r>
      <w:r w:rsidRPr="008D1AFD">
        <w:rPr>
          <w:i/>
          <w:iCs/>
          <w:color w:val="auto"/>
          <w:sz w:val="18"/>
          <w:szCs w:val="18"/>
        </w:rPr>
        <w:t xml:space="preserve">Section 3103.2.2 </w:t>
      </w:r>
    </w:p>
    <w:p w:rsidR="00B61BE4" w:rsidRPr="008D1AFD" w:rsidRDefault="00B61BE4" w:rsidP="00B61BE4">
      <w:pPr>
        <w:pStyle w:val="Default"/>
        <w:spacing w:after="30"/>
        <w:ind w:firstLine="720"/>
        <w:rPr>
          <w:color w:val="auto"/>
          <w:sz w:val="18"/>
          <w:szCs w:val="18"/>
        </w:rPr>
      </w:pPr>
      <w:r w:rsidRPr="008D1AFD">
        <w:rPr>
          <w:color w:val="auto"/>
          <w:sz w:val="18"/>
          <w:szCs w:val="18"/>
        </w:rPr>
        <w:t>3. Structures are to be certified as composed of flame resistance material or treated with flame</w:t>
      </w:r>
    </w:p>
    <w:p w:rsidR="00B61BE4" w:rsidRPr="008D1AFD" w:rsidRDefault="00B61BE4" w:rsidP="00B61BE4">
      <w:pPr>
        <w:pStyle w:val="Default"/>
        <w:spacing w:after="30"/>
        <w:ind w:firstLine="720"/>
        <w:rPr>
          <w:color w:val="auto"/>
          <w:sz w:val="18"/>
          <w:szCs w:val="18"/>
        </w:rPr>
      </w:pPr>
      <w:r w:rsidRPr="008D1AFD">
        <w:rPr>
          <w:color w:val="auto"/>
          <w:sz w:val="18"/>
          <w:szCs w:val="18"/>
        </w:rPr>
        <w:t xml:space="preserve">    retardant to meet flame propagation performance criteria of NFPA 701</w:t>
      </w:r>
    </w:p>
    <w:p w:rsidR="00B61BE4" w:rsidRPr="008D1AFD" w:rsidRDefault="00B61BE4" w:rsidP="00B61BE4">
      <w:pPr>
        <w:pStyle w:val="Default"/>
        <w:numPr>
          <w:ilvl w:val="5"/>
          <w:numId w:val="1"/>
        </w:numPr>
        <w:spacing w:after="30"/>
        <w:rPr>
          <w:color w:val="auto"/>
          <w:sz w:val="18"/>
          <w:szCs w:val="18"/>
        </w:rPr>
      </w:pPr>
      <w:r w:rsidRPr="008D1AFD">
        <w:rPr>
          <w:color w:val="auto"/>
          <w:sz w:val="18"/>
          <w:szCs w:val="18"/>
        </w:rPr>
        <w:t xml:space="preserve">             4. Structures with occupant load of 50 or more shall have detail Site and Floor Plans. a. Site Plan:  </w:t>
      </w:r>
    </w:p>
    <w:p w:rsidR="00B61BE4" w:rsidRPr="008D1AFD" w:rsidRDefault="00B61BE4" w:rsidP="00B61BE4">
      <w:pPr>
        <w:pStyle w:val="Default"/>
        <w:spacing w:after="30"/>
        <w:ind w:firstLine="720"/>
        <w:rPr>
          <w:color w:val="auto"/>
          <w:sz w:val="18"/>
          <w:szCs w:val="18"/>
        </w:rPr>
      </w:pPr>
      <w:r w:rsidRPr="008D1AFD">
        <w:rPr>
          <w:color w:val="auto"/>
          <w:sz w:val="18"/>
          <w:szCs w:val="18"/>
        </w:rPr>
        <w:t xml:space="preserve">   Show 20 feet wide fire lane and 20 feet from other structures, lot lines, building lines, parked  </w:t>
      </w:r>
    </w:p>
    <w:p w:rsidR="00B61BE4" w:rsidRPr="008D1AFD" w:rsidRDefault="00B61BE4" w:rsidP="00B61BE4">
      <w:pPr>
        <w:pStyle w:val="Default"/>
        <w:spacing w:after="30"/>
        <w:ind w:firstLine="720"/>
        <w:rPr>
          <w:color w:val="auto"/>
          <w:sz w:val="18"/>
          <w:szCs w:val="18"/>
        </w:rPr>
      </w:pPr>
      <w:r w:rsidRPr="008D1AFD">
        <w:rPr>
          <w:color w:val="auto"/>
          <w:sz w:val="18"/>
          <w:szCs w:val="18"/>
        </w:rPr>
        <w:t xml:space="preserve">   vehicles, internal combustion engines etc.</w:t>
      </w:r>
    </w:p>
    <w:p w:rsidR="00B61BE4" w:rsidRPr="008D1AFD" w:rsidRDefault="00B61BE4" w:rsidP="00B61BE4">
      <w:pPr>
        <w:pStyle w:val="Default"/>
        <w:spacing w:after="30"/>
        <w:ind w:firstLine="720"/>
        <w:rPr>
          <w:color w:val="auto"/>
          <w:sz w:val="18"/>
          <w:szCs w:val="18"/>
        </w:rPr>
      </w:pPr>
    </w:p>
    <w:p w:rsidR="00B61BE4" w:rsidRPr="008D1AFD" w:rsidRDefault="00B61BE4" w:rsidP="00B61BE4">
      <w:pPr>
        <w:pStyle w:val="Default"/>
        <w:numPr>
          <w:ilvl w:val="5"/>
          <w:numId w:val="1"/>
        </w:numPr>
        <w:spacing w:after="30"/>
        <w:rPr>
          <w:color w:val="auto"/>
          <w:sz w:val="18"/>
          <w:szCs w:val="18"/>
        </w:rPr>
      </w:pPr>
      <w:r w:rsidRPr="008D1AFD">
        <w:rPr>
          <w:color w:val="auto"/>
          <w:sz w:val="18"/>
          <w:szCs w:val="18"/>
        </w:rPr>
        <w:t xml:space="preserve">               Structures with occupant load of 50 or more shall have detail Site and Floor Plans. </w:t>
      </w:r>
    </w:p>
    <w:p w:rsidR="00B61BE4" w:rsidRPr="008D1AFD" w:rsidRDefault="00B61BE4" w:rsidP="00B61BE4">
      <w:pPr>
        <w:pStyle w:val="Default"/>
        <w:numPr>
          <w:ilvl w:val="5"/>
          <w:numId w:val="1"/>
        </w:numPr>
        <w:spacing w:after="30"/>
        <w:rPr>
          <w:color w:val="auto"/>
          <w:sz w:val="18"/>
          <w:szCs w:val="18"/>
        </w:rPr>
      </w:pPr>
      <w:r w:rsidRPr="008D1AFD">
        <w:rPr>
          <w:color w:val="auto"/>
          <w:sz w:val="18"/>
          <w:szCs w:val="18"/>
        </w:rPr>
        <w:t xml:space="preserve">                        a. Site Plan: Show 20 feet wide fire lane and 20 feet from other structures, lot lines,   </w:t>
      </w:r>
    </w:p>
    <w:p w:rsidR="00B61BE4" w:rsidRPr="008D1AFD" w:rsidRDefault="00B61BE4" w:rsidP="00B61BE4">
      <w:pPr>
        <w:pStyle w:val="Default"/>
        <w:numPr>
          <w:ilvl w:val="5"/>
          <w:numId w:val="1"/>
        </w:numPr>
        <w:spacing w:after="30"/>
        <w:rPr>
          <w:color w:val="auto"/>
          <w:sz w:val="18"/>
          <w:szCs w:val="18"/>
        </w:rPr>
      </w:pPr>
      <w:r w:rsidRPr="008D1AFD">
        <w:rPr>
          <w:color w:val="auto"/>
          <w:sz w:val="18"/>
          <w:szCs w:val="18"/>
        </w:rPr>
        <w:t xml:space="preserve">                            building lines, parked vehicles, internal combustion engines etc.</w:t>
      </w:r>
    </w:p>
    <w:p w:rsidR="00B61BE4" w:rsidRPr="008D1AFD" w:rsidRDefault="00B61BE4" w:rsidP="00B61BE4">
      <w:pPr>
        <w:pStyle w:val="Default"/>
        <w:spacing w:after="30"/>
        <w:ind w:firstLine="720"/>
        <w:rPr>
          <w:color w:val="auto"/>
          <w:sz w:val="18"/>
          <w:szCs w:val="18"/>
        </w:rPr>
      </w:pPr>
    </w:p>
    <w:p w:rsidR="00B61BE4" w:rsidRPr="008D1AFD" w:rsidRDefault="00B61BE4" w:rsidP="00B61BE4">
      <w:pPr>
        <w:pStyle w:val="Default"/>
        <w:numPr>
          <w:ilvl w:val="1"/>
          <w:numId w:val="1"/>
        </w:numPr>
        <w:rPr>
          <w:color w:val="auto"/>
          <w:sz w:val="18"/>
          <w:szCs w:val="18"/>
        </w:rPr>
      </w:pPr>
      <w:r w:rsidRPr="008D1AFD">
        <w:rPr>
          <w:color w:val="auto"/>
          <w:sz w:val="18"/>
          <w:szCs w:val="18"/>
        </w:rPr>
        <w:t xml:space="preserve">                        b. Floor Plan: Show layout of tables, chairs, furniture, platform and equipment. </w:t>
      </w:r>
      <w:proofErr w:type="gramStart"/>
      <w:r w:rsidRPr="008D1AFD">
        <w:rPr>
          <w:color w:val="auto"/>
          <w:sz w:val="18"/>
          <w:szCs w:val="18"/>
        </w:rPr>
        <w:t>A 44 inches</w:t>
      </w:r>
      <w:proofErr w:type="gramEnd"/>
      <w:r w:rsidRPr="008D1AFD">
        <w:rPr>
          <w:color w:val="auto"/>
          <w:sz w:val="18"/>
          <w:szCs w:val="18"/>
        </w:rPr>
        <w:t xml:space="preserve">   </w:t>
      </w:r>
    </w:p>
    <w:p w:rsidR="00C53D3B" w:rsidRDefault="00B61BE4" w:rsidP="00B61BE4">
      <w:pPr>
        <w:pStyle w:val="Default"/>
        <w:numPr>
          <w:ilvl w:val="1"/>
          <w:numId w:val="1"/>
        </w:numPr>
        <w:rPr>
          <w:color w:val="auto"/>
          <w:sz w:val="18"/>
          <w:szCs w:val="18"/>
        </w:rPr>
      </w:pPr>
      <w:r w:rsidRPr="008D1AFD">
        <w:rPr>
          <w:color w:val="auto"/>
          <w:sz w:val="18"/>
          <w:szCs w:val="18"/>
        </w:rPr>
        <w:t xml:space="preserve">                            wide clear aisle shall be maintained for egress. </w:t>
      </w:r>
    </w:p>
    <w:p w:rsidR="00C53D3B" w:rsidRDefault="00C53D3B" w:rsidP="00B61BE4">
      <w:pPr>
        <w:pStyle w:val="Default"/>
        <w:numPr>
          <w:ilvl w:val="1"/>
          <w:numId w:val="1"/>
        </w:numPr>
        <w:rPr>
          <w:color w:val="auto"/>
          <w:sz w:val="18"/>
          <w:szCs w:val="18"/>
        </w:rPr>
      </w:pPr>
      <w:r>
        <w:rPr>
          <w:color w:val="auto"/>
          <w:sz w:val="18"/>
          <w:szCs w:val="18"/>
        </w:rPr>
        <w:t xml:space="preserve">                            </w:t>
      </w:r>
      <w:r w:rsidR="00B61BE4" w:rsidRPr="008D1AFD">
        <w:rPr>
          <w:color w:val="auto"/>
          <w:sz w:val="18"/>
          <w:szCs w:val="18"/>
        </w:rPr>
        <w:t>Show location exit(s) if structure have</w:t>
      </w:r>
      <w:r w:rsidR="00B61BE4" w:rsidRPr="00C53D3B">
        <w:rPr>
          <w:color w:val="auto"/>
          <w:sz w:val="18"/>
          <w:szCs w:val="18"/>
        </w:rPr>
        <w:t xml:space="preserve"> </w:t>
      </w:r>
      <w:r>
        <w:rPr>
          <w:color w:val="auto"/>
          <w:sz w:val="18"/>
          <w:szCs w:val="18"/>
        </w:rPr>
        <w:t>sides. (</w:t>
      </w:r>
      <w:r w:rsidR="00B61BE4" w:rsidRPr="00C53D3B">
        <w:rPr>
          <w:color w:val="auto"/>
          <w:sz w:val="18"/>
          <w:szCs w:val="18"/>
        </w:rPr>
        <w:t xml:space="preserve">## of exits) </w:t>
      </w:r>
    </w:p>
    <w:p w:rsidR="00C53D3B" w:rsidRDefault="00C53D3B" w:rsidP="00B61BE4">
      <w:pPr>
        <w:pStyle w:val="Default"/>
        <w:numPr>
          <w:ilvl w:val="1"/>
          <w:numId w:val="1"/>
        </w:numPr>
        <w:rPr>
          <w:color w:val="auto"/>
          <w:sz w:val="18"/>
          <w:szCs w:val="18"/>
        </w:rPr>
      </w:pPr>
      <w:r>
        <w:rPr>
          <w:color w:val="auto"/>
          <w:sz w:val="18"/>
          <w:szCs w:val="18"/>
        </w:rPr>
        <w:t xml:space="preserve">                            </w:t>
      </w:r>
      <w:r w:rsidR="00B61BE4" w:rsidRPr="00C53D3B">
        <w:rPr>
          <w:color w:val="auto"/>
          <w:sz w:val="18"/>
          <w:szCs w:val="18"/>
        </w:rPr>
        <w:t xml:space="preserve">Location of portable fire extinguisher(s). Location of No Smoking sign. </w:t>
      </w:r>
    </w:p>
    <w:p w:rsidR="00B61BE4" w:rsidRPr="00C53D3B" w:rsidRDefault="00C53D3B" w:rsidP="00B61BE4">
      <w:pPr>
        <w:pStyle w:val="Default"/>
        <w:numPr>
          <w:ilvl w:val="1"/>
          <w:numId w:val="1"/>
        </w:numPr>
        <w:rPr>
          <w:color w:val="auto"/>
          <w:sz w:val="18"/>
          <w:szCs w:val="18"/>
        </w:rPr>
      </w:pPr>
      <w:r>
        <w:rPr>
          <w:color w:val="auto"/>
          <w:sz w:val="18"/>
          <w:szCs w:val="18"/>
        </w:rPr>
        <w:t xml:space="preserve">                            </w:t>
      </w:r>
      <w:r w:rsidR="00B61BE4" w:rsidRPr="00C53D3B">
        <w:rPr>
          <w:color w:val="auto"/>
          <w:sz w:val="18"/>
          <w:szCs w:val="18"/>
        </w:rPr>
        <w:t>Location of Occupant Load sign.</w:t>
      </w:r>
    </w:p>
    <w:p w:rsidR="00B61BE4" w:rsidRDefault="00C53D3B" w:rsidP="00B61BE4">
      <w:pPr>
        <w:pStyle w:val="Default"/>
        <w:rPr>
          <w:color w:val="auto"/>
          <w:sz w:val="18"/>
          <w:szCs w:val="18"/>
        </w:rPr>
      </w:pPr>
      <w:r>
        <w:rPr>
          <w:color w:val="auto"/>
          <w:sz w:val="18"/>
          <w:szCs w:val="18"/>
        </w:rPr>
        <w:t xml:space="preserve">                 </w:t>
      </w:r>
      <w:r w:rsidR="00B61BE4" w:rsidRPr="008D1AFD">
        <w:rPr>
          <w:color w:val="auto"/>
          <w:sz w:val="18"/>
          <w:szCs w:val="18"/>
        </w:rPr>
        <w:t xml:space="preserve">The plans are to indicate if the structure(s) will or will not have flaps or sides. This will affect the placement </w:t>
      </w:r>
    </w:p>
    <w:p w:rsidR="00C53D3B" w:rsidRPr="008D1AFD" w:rsidRDefault="00C53D3B" w:rsidP="00B61BE4">
      <w:pPr>
        <w:pStyle w:val="Default"/>
        <w:rPr>
          <w:color w:val="auto"/>
          <w:sz w:val="18"/>
          <w:szCs w:val="18"/>
        </w:rPr>
      </w:pPr>
      <w:r>
        <w:rPr>
          <w:color w:val="auto"/>
          <w:sz w:val="18"/>
          <w:szCs w:val="18"/>
        </w:rPr>
        <w:t xml:space="preserve">                 </w:t>
      </w:r>
      <w:r w:rsidRPr="008D1AFD">
        <w:rPr>
          <w:color w:val="auto"/>
          <w:sz w:val="18"/>
          <w:szCs w:val="18"/>
        </w:rPr>
        <w:t>of exit, exit signs, fire extinguishers and other life safety equipment.</w:t>
      </w:r>
    </w:p>
    <w:p w:rsidR="00B61BE4" w:rsidRPr="008D1AFD" w:rsidRDefault="00B61BE4" w:rsidP="00B61BE4">
      <w:pPr>
        <w:pStyle w:val="Default"/>
        <w:rPr>
          <w:color w:val="auto"/>
          <w:sz w:val="18"/>
          <w:szCs w:val="18"/>
        </w:rPr>
      </w:pPr>
      <w:r w:rsidRPr="008D1AFD">
        <w:rPr>
          <w:color w:val="auto"/>
          <w:sz w:val="18"/>
          <w:szCs w:val="18"/>
        </w:rPr>
        <w:t xml:space="preserve"> </w:t>
      </w:r>
    </w:p>
    <w:p w:rsidR="00B61BE4" w:rsidRPr="008D1AFD" w:rsidRDefault="00B61BE4" w:rsidP="00B61BE4">
      <w:pPr>
        <w:pStyle w:val="Default"/>
        <w:tabs>
          <w:tab w:val="left" w:pos="720"/>
        </w:tabs>
        <w:spacing w:after="30"/>
        <w:rPr>
          <w:color w:val="auto"/>
          <w:sz w:val="18"/>
          <w:szCs w:val="18"/>
        </w:rPr>
      </w:pPr>
      <w:r w:rsidRPr="008D1AFD">
        <w:rPr>
          <w:color w:val="auto"/>
          <w:sz w:val="18"/>
          <w:szCs w:val="18"/>
        </w:rPr>
        <w:t xml:space="preserve">             5. Smoking is not allowed within these structures. </w:t>
      </w:r>
    </w:p>
    <w:p w:rsidR="00B61BE4" w:rsidRPr="008D1AFD" w:rsidRDefault="00B61BE4" w:rsidP="00B61BE4">
      <w:pPr>
        <w:pStyle w:val="Default"/>
        <w:spacing w:after="30"/>
        <w:rPr>
          <w:color w:val="auto"/>
          <w:sz w:val="18"/>
          <w:szCs w:val="18"/>
        </w:rPr>
      </w:pPr>
      <w:r w:rsidRPr="008D1AFD">
        <w:rPr>
          <w:color w:val="auto"/>
          <w:sz w:val="18"/>
          <w:szCs w:val="18"/>
        </w:rPr>
        <w:t xml:space="preserve">             6. Air supported structure with more than 200 occupants shall include auxiliary emergency power  </w:t>
      </w:r>
    </w:p>
    <w:p w:rsidR="00B61BE4" w:rsidRPr="008D1AFD" w:rsidRDefault="00B61BE4" w:rsidP="00B61BE4">
      <w:pPr>
        <w:pStyle w:val="Default"/>
        <w:spacing w:after="30"/>
        <w:rPr>
          <w:color w:val="auto"/>
          <w:sz w:val="18"/>
          <w:szCs w:val="18"/>
        </w:rPr>
      </w:pPr>
      <w:r w:rsidRPr="008D1AFD">
        <w:rPr>
          <w:color w:val="auto"/>
          <w:sz w:val="18"/>
          <w:szCs w:val="18"/>
        </w:rPr>
        <w:t xml:space="preserve">                 that will switch on automatically and capable of running for 4 hours.</w:t>
      </w:r>
    </w:p>
    <w:p w:rsidR="00B61BE4" w:rsidRPr="008D1AFD" w:rsidRDefault="00B61BE4" w:rsidP="00B61BE4">
      <w:pPr>
        <w:pStyle w:val="Default"/>
        <w:spacing w:after="30"/>
        <w:rPr>
          <w:color w:val="auto"/>
          <w:sz w:val="18"/>
          <w:szCs w:val="18"/>
        </w:rPr>
      </w:pPr>
      <w:r w:rsidRPr="008D1AFD">
        <w:rPr>
          <w:color w:val="auto"/>
          <w:sz w:val="18"/>
          <w:szCs w:val="18"/>
        </w:rPr>
        <w:t xml:space="preserve">             7. Calculation of occupant load shall utilize Load Table 1004.1.2 NCBC 2018: Standing only: 5 sf                     </w:t>
      </w:r>
    </w:p>
    <w:p w:rsidR="00B61BE4" w:rsidRPr="008D1AFD" w:rsidRDefault="00B61BE4" w:rsidP="00B61BE4">
      <w:pPr>
        <w:pStyle w:val="Default"/>
        <w:spacing w:after="30"/>
        <w:rPr>
          <w:color w:val="auto"/>
          <w:sz w:val="18"/>
          <w:szCs w:val="18"/>
        </w:rPr>
      </w:pPr>
      <w:r w:rsidRPr="008D1AFD">
        <w:rPr>
          <w:color w:val="auto"/>
          <w:sz w:val="18"/>
          <w:szCs w:val="18"/>
        </w:rPr>
        <w:t xml:space="preserve">                 per person. Seating only: 7 sf per person. Seating at Table: 15 sf per person</w:t>
      </w:r>
    </w:p>
    <w:p w:rsidR="00B61BE4" w:rsidRPr="008D1AFD" w:rsidRDefault="00B61BE4" w:rsidP="00B61BE4">
      <w:pPr>
        <w:pStyle w:val="Default"/>
        <w:spacing w:after="30"/>
        <w:rPr>
          <w:color w:val="auto"/>
          <w:sz w:val="18"/>
          <w:szCs w:val="18"/>
        </w:rPr>
      </w:pPr>
      <w:r w:rsidRPr="008D1AFD">
        <w:rPr>
          <w:color w:val="auto"/>
          <w:sz w:val="18"/>
          <w:szCs w:val="18"/>
        </w:rPr>
        <w:t xml:space="preserve">             8. Open flame or devices emitting flame, fire, heat with combustible liquids, gas, charcoal as fuel  </w:t>
      </w:r>
    </w:p>
    <w:p w:rsidR="00B61BE4" w:rsidRPr="008D1AFD" w:rsidRDefault="00B61BE4" w:rsidP="00B61BE4">
      <w:pPr>
        <w:pStyle w:val="Default"/>
        <w:spacing w:after="30"/>
        <w:rPr>
          <w:color w:val="auto"/>
          <w:sz w:val="18"/>
          <w:szCs w:val="18"/>
        </w:rPr>
      </w:pPr>
      <w:r w:rsidRPr="008D1AFD">
        <w:rPr>
          <w:color w:val="auto"/>
          <w:sz w:val="18"/>
          <w:szCs w:val="18"/>
        </w:rPr>
        <w:t xml:space="preserve">                 or any unapproved equipment are not allowed inside or within 20 feet of such structures while  </w:t>
      </w:r>
    </w:p>
    <w:p w:rsidR="00B61BE4" w:rsidRPr="008D1AFD" w:rsidRDefault="00B61BE4" w:rsidP="00B61BE4">
      <w:pPr>
        <w:pStyle w:val="Default"/>
        <w:spacing w:after="30"/>
        <w:rPr>
          <w:color w:val="auto"/>
          <w:sz w:val="18"/>
          <w:szCs w:val="18"/>
        </w:rPr>
      </w:pPr>
      <w:r w:rsidRPr="008D1AFD">
        <w:rPr>
          <w:color w:val="auto"/>
          <w:sz w:val="18"/>
          <w:szCs w:val="18"/>
        </w:rPr>
        <w:t xml:space="preserve">                 occupied by the </w:t>
      </w:r>
      <w:proofErr w:type="gramStart"/>
      <w:r w:rsidRPr="008D1AFD">
        <w:rPr>
          <w:color w:val="auto"/>
          <w:sz w:val="18"/>
          <w:szCs w:val="18"/>
        </w:rPr>
        <w:t>general public</w:t>
      </w:r>
      <w:proofErr w:type="gramEnd"/>
      <w:r w:rsidRPr="008D1AFD">
        <w:rPr>
          <w:color w:val="auto"/>
          <w:sz w:val="18"/>
          <w:szCs w:val="18"/>
        </w:rPr>
        <w:t>.</w:t>
      </w:r>
    </w:p>
    <w:p w:rsidR="00B61BE4" w:rsidRPr="008D1AFD" w:rsidRDefault="00B61BE4" w:rsidP="00B61BE4">
      <w:pPr>
        <w:pStyle w:val="Default"/>
        <w:spacing w:after="30"/>
        <w:rPr>
          <w:color w:val="auto"/>
          <w:sz w:val="18"/>
          <w:szCs w:val="18"/>
        </w:rPr>
      </w:pPr>
      <w:r w:rsidRPr="008D1AFD">
        <w:rPr>
          <w:color w:val="auto"/>
          <w:sz w:val="18"/>
          <w:szCs w:val="18"/>
        </w:rPr>
        <w:t xml:space="preserve">             9. Restroom accommodations provided for public use shall include accessibility access and  </w:t>
      </w:r>
    </w:p>
    <w:p w:rsidR="00B61BE4" w:rsidRPr="008D1AFD" w:rsidRDefault="00B61BE4" w:rsidP="00B61BE4">
      <w:pPr>
        <w:pStyle w:val="Default"/>
        <w:spacing w:after="30"/>
        <w:rPr>
          <w:color w:val="auto"/>
          <w:sz w:val="18"/>
          <w:szCs w:val="18"/>
        </w:rPr>
      </w:pPr>
      <w:r w:rsidRPr="008D1AFD">
        <w:rPr>
          <w:color w:val="auto"/>
          <w:sz w:val="18"/>
          <w:szCs w:val="18"/>
        </w:rPr>
        <w:t xml:space="preserve">                  fixtures.</w:t>
      </w:r>
    </w:p>
    <w:p w:rsidR="00B61BE4" w:rsidRPr="008D1AFD" w:rsidRDefault="00B61BE4" w:rsidP="00B61BE4">
      <w:pPr>
        <w:pStyle w:val="Default"/>
        <w:rPr>
          <w:color w:val="auto"/>
          <w:sz w:val="18"/>
          <w:szCs w:val="18"/>
        </w:rPr>
      </w:pPr>
      <w:r w:rsidRPr="008D1AFD">
        <w:rPr>
          <w:color w:val="auto"/>
          <w:sz w:val="18"/>
          <w:szCs w:val="18"/>
        </w:rPr>
        <w:t xml:space="preserve">           10. Refer to Chapter 31, NC Fire Code 2018 for additional code requirements. </w:t>
      </w:r>
    </w:p>
    <w:p w:rsidR="00B61BE4" w:rsidRPr="008D1AFD" w:rsidRDefault="00B61BE4" w:rsidP="00B61BE4">
      <w:pPr>
        <w:pStyle w:val="Default"/>
        <w:rPr>
          <w:color w:val="auto"/>
          <w:sz w:val="18"/>
          <w:szCs w:val="18"/>
        </w:rPr>
      </w:pPr>
    </w:p>
    <w:p w:rsidR="00B61BE4" w:rsidRPr="008D1AFD" w:rsidRDefault="00B61BE4" w:rsidP="00B61BE4">
      <w:pPr>
        <w:pStyle w:val="Default"/>
        <w:rPr>
          <w:color w:val="auto"/>
          <w:sz w:val="18"/>
          <w:szCs w:val="18"/>
        </w:rPr>
      </w:pPr>
      <w:r w:rsidRPr="008D1AFD">
        <w:rPr>
          <w:color w:val="auto"/>
          <w:sz w:val="18"/>
          <w:szCs w:val="18"/>
        </w:rPr>
        <w:t xml:space="preserve">The Owner must direct the event organizer to submit plans to SCO at the address below. This must be done 30 days prior to event is scheduled to allow ample time for review and for the vendor to respond to any resulting questions and/or a possible site visit by staff to better assess the plan. If the Owner or vendor does not submit their plans to SCO soon enough to allow a reasonable time for evaluation and approval, the event cannot be approved and must be either reschedule or cancelled. </w:t>
      </w:r>
    </w:p>
    <w:p w:rsidR="00B61BE4" w:rsidRPr="008D1AFD" w:rsidRDefault="00B61BE4" w:rsidP="00B61BE4">
      <w:pPr>
        <w:pStyle w:val="Default"/>
        <w:rPr>
          <w:color w:val="auto"/>
          <w:sz w:val="18"/>
          <w:szCs w:val="18"/>
        </w:rPr>
      </w:pPr>
      <w:r w:rsidRPr="008D1AFD">
        <w:rPr>
          <w:color w:val="auto"/>
          <w:sz w:val="18"/>
          <w:szCs w:val="18"/>
        </w:rPr>
        <w:t xml:space="preserve">If a situation arises where it is necessary for SCO to ask the local jurisdiction to review the event plans and/or inspect the structure on our behalf (e.g., due to a time or location issue), the cost for such local jurisdiction inspection permit will be borne by the Owner or event organizer. </w:t>
      </w:r>
    </w:p>
    <w:p w:rsidR="008D1AFD" w:rsidRDefault="008D1AFD" w:rsidP="00B61BE4">
      <w:pPr>
        <w:pStyle w:val="Default"/>
        <w:rPr>
          <w:color w:val="auto"/>
          <w:sz w:val="20"/>
          <w:szCs w:val="20"/>
        </w:rPr>
      </w:pPr>
    </w:p>
    <w:p w:rsidR="0092641B" w:rsidRDefault="00B61BE4" w:rsidP="00B61BE4">
      <w:pPr>
        <w:rPr>
          <w:sz w:val="18"/>
          <w:szCs w:val="18"/>
        </w:rPr>
      </w:pPr>
      <w:r>
        <w:rPr>
          <w:sz w:val="20"/>
          <w:szCs w:val="20"/>
        </w:rPr>
        <w:t xml:space="preserve">For questions, contact SCO at 919-807-2095 to speak with Farouk Zaman. Plans/applications can be mail to us at: State Construction Office, 1307 Mail Service Center, Raleigh, NC 27699-1307; or hand delivered to New Education Building, 301 North Wilmington Street, Suite 450, Raleigh, NC 278601; or Courier number 56-02-01; or emailed to </w:t>
      </w:r>
      <w:hyperlink r:id="rId7" w:history="1">
        <w:r w:rsidR="000F0EEC" w:rsidRPr="000F0EEC">
          <w:rPr>
            <w:rStyle w:val="Hyperlink"/>
            <w:sz w:val="20"/>
            <w:szCs w:val="20"/>
          </w:rPr>
          <w:t>mailto:sco.permits@doa.nc.gov</w:t>
        </w:r>
      </w:hyperlink>
      <w:r>
        <w:rPr>
          <w:sz w:val="20"/>
          <w:szCs w:val="20"/>
        </w:rPr>
        <w:t xml:space="preserve">; or faxed 919-807-4110. </w:t>
      </w:r>
    </w:p>
    <w:p w:rsidR="00B61BE4" w:rsidRDefault="00B61BE4" w:rsidP="00B61BE4">
      <w:pPr>
        <w:rPr>
          <w:sz w:val="18"/>
          <w:szCs w:val="18"/>
        </w:rPr>
      </w:pPr>
    </w:p>
    <w:p w:rsidR="00C53D3B" w:rsidRDefault="00C53D3B" w:rsidP="00B61BE4">
      <w:pPr>
        <w:rPr>
          <w:sz w:val="18"/>
          <w:szCs w:val="18"/>
        </w:rPr>
      </w:pPr>
    </w:p>
    <w:p w:rsidR="00C53D3B" w:rsidRPr="00B61BE4" w:rsidRDefault="00B61BE4" w:rsidP="00B61BE4">
      <w:pPr>
        <w:rPr>
          <w:sz w:val="18"/>
          <w:szCs w:val="18"/>
        </w:rPr>
      </w:pPr>
      <w:r>
        <w:rPr>
          <w:sz w:val="18"/>
          <w:szCs w:val="18"/>
        </w:rPr>
        <w:t>Tent Permit 2018                                                                                                                                                                                       Page 1</w:t>
      </w:r>
      <w:bookmarkStart w:id="0" w:name="_GoBack"/>
      <w:bookmarkEnd w:id="0"/>
    </w:p>
    <w:sectPr w:rsidR="00C53D3B" w:rsidRPr="00B61BE4" w:rsidSect="00C53D3B">
      <w:footerReference w:type="default" r:id="rId8"/>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BE4" w:rsidRDefault="00B61BE4" w:rsidP="00B61BE4">
      <w:pPr>
        <w:spacing w:after="0" w:line="240" w:lineRule="auto"/>
      </w:pPr>
      <w:r>
        <w:separator/>
      </w:r>
    </w:p>
  </w:endnote>
  <w:endnote w:type="continuationSeparator" w:id="0">
    <w:p w:rsidR="00B61BE4" w:rsidRDefault="00B61BE4" w:rsidP="00B6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E4" w:rsidRDefault="00B61BE4">
    <w:pPr>
      <w:pStyle w:val="Foote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BE4" w:rsidRDefault="00B61BE4" w:rsidP="00B61BE4">
      <w:pPr>
        <w:spacing w:after="0" w:line="240" w:lineRule="auto"/>
      </w:pPr>
      <w:r>
        <w:separator/>
      </w:r>
    </w:p>
  </w:footnote>
  <w:footnote w:type="continuationSeparator" w:id="0">
    <w:p w:rsidR="00B61BE4" w:rsidRDefault="00B61BE4" w:rsidP="00B6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E93A7C"/>
    <w:multiLevelType w:val="hybridMultilevel"/>
    <w:tmpl w:val="6D930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E4"/>
    <w:rsid w:val="000E2DC9"/>
    <w:rsid w:val="000F0EEC"/>
    <w:rsid w:val="003D7865"/>
    <w:rsid w:val="008D1AFD"/>
    <w:rsid w:val="0092641B"/>
    <w:rsid w:val="00A50E50"/>
    <w:rsid w:val="00A77EAD"/>
    <w:rsid w:val="00B61BE4"/>
    <w:rsid w:val="00B81D77"/>
    <w:rsid w:val="00C5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B1001"/>
  <w15:chartTrackingRefBased/>
  <w15:docId w15:val="{E68213A3-6C5F-4AA8-ADC0-BDD4433E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B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6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BE4"/>
  </w:style>
  <w:style w:type="paragraph" w:styleId="Footer">
    <w:name w:val="footer"/>
    <w:basedOn w:val="Normal"/>
    <w:link w:val="FooterChar"/>
    <w:uiPriority w:val="99"/>
    <w:unhideWhenUsed/>
    <w:rsid w:val="00B6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BE4"/>
  </w:style>
  <w:style w:type="paragraph" w:styleId="BalloonText">
    <w:name w:val="Balloon Text"/>
    <w:basedOn w:val="Normal"/>
    <w:link w:val="BalloonTextChar"/>
    <w:uiPriority w:val="99"/>
    <w:semiHidden/>
    <w:unhideWhenUsed/>
    <w:rsid w:val="000F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EC"/>
    <w:rPr>
      <w:rFonts w:ascii="Segoe UI" w:hAnsi="Segoe UI" w:cs="Segoe UI"/>
      <w:sz w:val="18"/>
      <w:szCs w:val="18"/>
    </w:rPr>
  </w:style>
  <w:style w:type="character" w:styleId="Hyperlink">
    <w:name w:val="Hyperlink"/>
    <w:basedOn w:val="DefaultParagraphFont"/>
    <w:uiPriority w:val="99"/>
    <w:unhideWhenUsed/>
    <w:rsid w:val="000F0EEC"/>
    <w:rPr>
      <w:color w:val="0563C1" w:themeColor="hyperlink"/>
      <w:u w:val="single"/>
    </w:rPr>
  </w:style>
  <w:style w:type="character" w:styleId="UnresolvedMention">
    <w:name w:val="Unresolved Mention"/>
    <w:basedOn w:val="DefaultParagraphFont"/>
    <w:uiPriority w:val="99"/>
    <w:semiHidden/>
    <w:unhideWhenUsed/>
    <w:rsid w:val="000F0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o.permits@doa.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Gregg A</dc:creator>
  <cp:keywords/>
  <dc:description/>
  <cp:lastModifiedBy>Collins, Gregg A</cp:lastModifiedBy>
  <cp:revision>2</cp:revision>
  <cp:lastPrinted>2018-10-10T11:44:00Z</cp:lastPrinted>
  <dcterms:created xsi:type="dcterms:W3CDTF">2018-10-15T19:41:00Z</dcterms:created>
  <dcterms:modified xsi:type="dcterms:W3CDTF">2018-10-15T19:41:00Z</dcterms:modified>
</cp:coreProperties>
</file>